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62" w:rsidRDefault="00F54DE2">
      <w:pPr>
        <w:ind w:rightChars="-3" w:right="-6"/>
        <w:jc w:val="center"/>
        <w:rPr>
          <w:rFonts w:ascii="微软雅黑" w:eastAsia="微软雅黑" w:hAnsi="微软雅黑"/>
          <w:b/>
          <w:color w:val="0070C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70C0"/>
          <w:sz w:val="32"/>
          <w:szCs w:val="32"/>
        </w:rPr>
        <w:t>京东方2</w:t>
      </w:r>
      <w:r>
        <w:rPr>
          <w:rFonts w:ascii="微软雅黑" w:eastAsia="微软雅黑" w:hAnsi="微软雅黑"/>
          <w:b/>
          <w:color w:val="0070C0"/>
          <w:sz w:val="32"/>
          <w:szCs w:val="32"/>
        </w:rPr>
        <w:t>022</w:t>
      </w:r>
      <w:r>
        <w:rPr>
          <w:rFonts w:ascii="微软雅黑" w:eastAsia="微软雅黑" w:hAnsi="微软雅黑" w:hint="eastAsia"/>
          <w:b/>
          <w:color w:val="0070C0"/>
          <w:sz w:val="32"/>
          <w:szCs w:val="32"/>
        </w:rPr>
        <w:t>校园招聘正式启动！Hi YOU！</w:t>
      </w:r>
    </w:p>
    <w:p w:rsidR="00420962" w:rsidRDefault="00F54DE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集团介绍</w:t>
      </w:r>
    </w:p>
    <w:p w:rsidR="00420962" w:rsidRDefault="00F54DE2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京东方科技集团股份有限公司（BOE）创立于1993年4月，是一家全球领先的物联网创新企业，为信息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交互和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人类健康提供智慧端口产品和专业服务，形成了以半导体显示事业为核心，传感器及解决方案、MLED、智慧系统创新、智慧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医工事业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融合发展的“1+4+N”航母事业群。</w:t>
      </w:r>
    </w:p>
    <w:p w:rsidR="00420962" w:rsidRDefault="00F54DE2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作为全球半导体显示产业龙头企业，BOE（京东方）带领中国显示产业实现了从无到有、从有到大、从大到强。目前全球每四个智能终端就有一块显示屏来自BOE（京东方），其超高清、柔性、</w:t>
      </w: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微显示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等解决方案已广泛应用于国内外知名品牌。全球市场调研机构</w:t>
      </w:r>
      <w:proofErr w:type="spellStart"/>
      <w:r>
        <w:rPr>
          <w:rFonts w:ascii="微软雅黑" w:eastAsia="微软雅黑" w:hAnsi="微软雅黑" w:hint="eastAsia"/>
          <w:bCs/>
          <w:sz w:val="20"/>
          <w:szCs w:val="20"/>
        </w:rPr>
        <w:t>Omdia</w:t>
      </w:r>
      <w:proofErr w:type="spellEnd"/>
      <w:r>
        <w:rPr>
          <w:rFonts w:ascii="微软雅黑" w:eastAsia="微软雅黑" w:hAnsi="微软雅黑" w:hint="eastAsia"/>
          <w:bCs/>
          <w:sz w:val="20"/>
          <w:szCs w:val="20"/>
        </w:rPr>
        <w:t>数据显示，2020年，BOE（京东方）在智能手机、平板电脑、笔记本电脑、显示器、电视等五大应用领域显示屏出货量均位列全球第一。</w:t>
      </w:r>
    </w:p>
    <w:p w:rsidR="00420962" w:rsidRDefault="00F54DE2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2496185</wp:posOffset>
            </wp:positionV>
            <wp:extent cx="3238500" cy="2159000"/>
            <wp:effectExtent l="0" t="0" r="0" b="0"/>
            <wp:wrapSquare wrapText="bothSides"/>
            <wp:docPr id="4" name="图片 4" descr="C:\Users\104626\Downloads\8代线实景大图（新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04626\Downloads\8代线实景大图（新LOGO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962" w:rsidRDefault="0042096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42096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42096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42096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42096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42096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F54DE2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创新&amp;经营实力</w:t>
      </w:r>
    </w:p>
    <w:p w:rsidR="00420962" w:rsidRDefault="00F54DE2">
      <w:pPr>
        <w:pStyle w:val="1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2020年，BOE（京东方）在智能手机、平板电脑、笔记本电脑、显示器、电视等五大应用领域显示屏出货量均位列全球第一；</w:t>
      </w:r>
    </w:p>
    <w:p w:rsidR="00420962" w:rsidRDefault="00F54DE2">
      <w:pPr>
        <w:pStyle w:val="1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2020年，京东方累计可使用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专利超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7万件，在年度新增专利申请中，发明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专利超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90%，海外专利超过35%，覆盖美国、欧洲、日本、韩国等多个国家和地区；</w:t>
      </w:r>
    </w:p>
    <w:p w:rsidR="00420962" w:rsidRDefault="00F54DE2">
      <w:pPr>
        <w:pStyle w:val="1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美国专利服务机构IFI Claims发布2020年度美国专利授权量统计报告，京东方全球排名跃升至第13位，美国专利授权量达2144件，连续3年跻身全球TOP20；</w:t>
      </w:r>
    </w:p>
    <w:p w:rsidR="00420962" w:rsidRDefault="00420962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Default="00F54DE2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加入我们</w:t>
      </w:r>
    </w:p>
    <w:p w:rsidR="00420962" w:rsidRPr="00FF4F0E" w:rsidRDefault="00FF4F0E">
      <w:pPr>
        <w:pStyle w:val="1"/>
        <w:widowControl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b/>
          <w:szCs w:val="21"/>
        </w:rPr>
      </w:pPr>
      <w:r w:rsidRPr="00FF4F0E">
        <w:rPr>
          <w:rFonts w:ascii="微软雅黑" w:eastAsia="微软雅黑" w:hAnsi="微软雅黑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2477391</wp:posOffset>
            </wp:positionH>
            <wp:positionV relativeFrom="margin">
              <wp:posOffset>7099300</wp:posOffset>
            </wp:positionV>
            <wp:extent cx="1152525" cy="1152525"/>
            <wp:effectExtent l="0" t="0" r="9525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F0E">
        <w:rPr>
          <w:rFonts w:ascii="微软雅黑" w:eastAsia="微软雅黑" w:hAnsi="微软雅黑" w:hint="eastAsia"/>
          <w:b/>
          <w:noProof/>
          <w:szCs w:val="21"/>
        </w:rPr>
        <w:t>移动端微官网投递</w:t>
      </w:r>
      <w:r w:rsidR="00F54DE2" w:rsidRPr="00FF4F0E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</w:p>
    <w:p w:rsidR="00420962" w:rsidRDefault="0042096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</w:p>
    <w:p w:rsidR="00420962" w:rsidRDefault="00F54DE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</w:t>
      </w:r>
    </w:p>
    <w:p w:rsidR="00420962" w:rsidRDefault="0042096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</w:p>
    <w:p w:rsidR="00420962" w:rsidRDefault="0042096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Cs w:val="21"/>
        </w:rPr>
      </w:pPr>
    </w:p>
    <w:p w:rsidR="00FF4F0E" w:rsidRPr="00FF4F0E" w:rsidRDefault="00FF4F0E">
      <w:pPr>
        <w:pStyle w:val="1"/>
        <w:widowControl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b/>
          <w:sz w:val="20"/>
          <w:szCs w:val="20"/>
        </w:rPr>
      </w:pPr>
      <w:r w:rsidRPr="00FF4F0E">
        <w:rPr>
          <w:rFonts w:ascii="微软雅黑" w:eastAsia="微软雅黑" w:hAnsi="微软雅黑" w:hint="eastAsia"/>
          <w:b/>
          <w:sz w:val="20"/>
          <w:szCs w:val="20"/>
        </w:rPr>
        <w:t>PC端官方投递渠道：</w:t>
      </w:r>
      <w:r w:rsidRPr="00FF4F0E">
        <w:rPr>
          <w:rFonts w:ascii="微软雅黑" w:eastAsia="微软雅黑" w:hAnsi="微软雅黑"/>
          <w:sz w:val="20"/>
          <w:szCs w:val="20"/>
        </w:rPr>
        <w:t>https</w:t>
      </w:r>
      <w:r w:rsidRPr="00FF4F0E">
        <w:rPr>
          <w:rFonts w:ascii="微软雅黑" w:eastAsia="微软雅黑" w:hAnsi="微软雅黑" w:hint="eastAsia"/>
          <w:sz w:val="20"/>
          <w:szCs w:val="20"/>
        </w:rPr>
        <w:t>:</w:t>
      </w:r>
      <w:r w:rsidRPr="00FF4F0E">
        <w:rPr>
          <w:rFonts w:ascii="微软雅黑" w:eastAsia="微软雅黑" w:hAnsi="微软雅黑"/>
          <w:sz w:val="20"/>
          <w:szCs w:val="20"/>
        </w:rPr>
        <w:t>//campus.boe.com</w:t>
      </w:r>
      <w:r w:rsidRPr="00FF4F0E">
        <w:rPr>
          <w:rFonts w:ascii="微软雅黑" w:eastAsia="微软雅黑" w:hAnsi="微软雅黑" w:hint="eastAsia"/>
          <w:b/>
          <w:sz w:val="20"/>
          <w:szCs w:val="20"/>
        </w:rPr>
        <w:t>【检索：储备工程师计划（J</w:t>
      </w:r>
      <w:r w:rsidRPr="00FF4F0E">
        <w:rPr>
          <w:rFonts w:ascii="微软雅黑" w:eastAsia="微软雅黑" w:hAnsi="微软雅黑"/>
          <w:b/>
          <w:sz w:val="20"/>
          <w:szCs w:val="20"/>
        </w:rPr>
        <w:t>30661</w:t>
      </w:r>
      <w:r w:rsidRPr="00FF4F0E">
        <w:rPr>
          <w:rFonts w:ascii="微软雅黑" w:eastAsia="微软雅黑" w:hAnsi="微软雅黑" w:hint="eastAsia"/>
          <w:b/>
          <w:sz w:val="20"/>
          <w:szCs w:val="20"/>
        </w:rPr>
        <w:t>）】</w:t>
      </w:r>
    </w:p>
    <w:p w:rsidR="00420962" w:rsidRDefault="00FF4F0E">
      <w:pPr>
        <w:pStyle w:val="1"/>
        <w:widowControl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b/>
          <w:bCs/>
          <w:sz w:val="20"/>
          <w:szCs w:val="20"/>
        </w:rPr>
        <w:t>PC</w:t>
      </w:r>
      <w:proofErr w:type="gramStart"/>
      <w:r>
        <w:rPr>
          <w:rFonts w:ascii="微软雅黑" w:eastAsia="微软雅黑" w:hAnsi="微软雅黑" w:hint="eastAsia"/>
          <w:b/>
          <w:bCs/>
          <w:sz w:val="20"/>
          <w:szCs w:val="20"/>
        </w:rPr>
        <w:t>端岗位</w:t>
      </w:r>
      <w:proofErr w:type="gramEnd"/>
      <w:r>
        <w:rPr>
          <w:rFonts w:ascii="微软雅黑" w:eastAsia="微软雅黑" w:hAnsi="微软雅黑" w:hint="eastAsia"/>
          <w:b/>
          <w:bCs/>
          <w:sz w:val="20"/>
          <w:szCs w:val="20"/>
        </w:rPr>
        <w:t>直达投递</w:t>
      </w:r>
      <w:r w:rsidR="00F54DE2">
        <w:rPr>
          <w:rFonts w:ascii="微软雅黑" w:eastAsia="微软雅黑" w:hAnsi="微软雅黑" w:hint="eastAsia"/>
          <w:b/>
          <w:bCs/>
          <w:sz w:val="20"/>
          <w:szCs w:val="20"/>
        </w:rPr>
        <w:t>：</w:t>
      </w:r>
      <w:r w:rsidRPr="00FF4F0E">
        <w:rPr>
          <w:rFonts w:ascii="Helvetica" w:hAnsi="Helvetica" w:cs="Helvetica"/>
          <w:szCs w:val="21"/>
          <w:bdr w:val="none" w:sz="0" w:space="0" w:color="auto" w:frame="1"/>
          <w:shd w:val="clear" w:color="auto" w:fill="FFFFFF"/>
        </w:rPr>
        <w:t>http://boe.zhiye.com/zpdetail/880051046</w:t>
      </w:r>
    </w:p>
    <w:p w:rsidR="00420962" w:rsidRDefault="00F54DE2">
      <w:pPr>
        <w:widowControl/>
        <w:adjustRightInd w:val="0"/>
        <w:snapToGrid w:val="0"/>
        <w:spacing w:line="276" w:lineRule="auto"/>
        <w:ind w:firstLine="420"/>
        <w:rPr>
          <w:rFonts w:ascii="微软雅黑" w:eastAsia="微软雅黑" w:hAnsi="微软雅黑"/>
          <w:b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lastRenderedPageBreak/>
        <w:t>应聘流程：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 xml:space="preserve">简历投递 </w:t>
      </w:r>
      <w:bookmarkStart w:id="0" w:name="_Hlk49183554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→</w:t>
      </w:r>
      <w:bookmarkEnd w:id="0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 xml:space="preserve"> 在线测评 → 面试 → 签约 → 体检 → 入职</w:t>
      </w:r>
    </w:p>
    <w:p w:rsidR="00420962" w:rsidRDefault="00F54DE2">
      <w:pPr>
        <w:pStyle w:val="1"/>
        <w:widowControl/>
        <w:adjustRightInd w:val="0"/>
        <w:snapToGrid w:val="0"/>
        <w:spacing w:line="276" w:lineRule="auto"/>
        <w:ind w:left="420" w:firstLineChars="0" w:firstLine="0"/>
        <w:contextualSpacing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注</w:t>
      </w:r>
      <w:r w:rsidR="00FF4F0E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：所有人简历投递成功后都将收到</w:t>
      </w:r>
      <w:r w:rsidR="00FF4F0E" w:rsidRPr="00FF4F0E">
        <w:rPr>
          <w:rFonts w:ascii="微软雅黑" w:eastAsia="微软雅黑" w:hAnsi="微软雅黑" w:hint="eastAsia"/>
          <w:b/>
          <w:sz w:val="20"/>
          <w:szCs w:val="20"/>
          <w:u w:val="single"/>
        </w:rPr>
        <w:t>简历完善和</w:t>
      </w:r>
      <w:r w:rsidRPr="00FF4F0E"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线</w:t>
      </w:r>
      <w:r w:rsidR="00FF4F0E"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上测评的</w:t>
      </w:r>
      <w:r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邮件</w:t>
      </w:r>
      <w:r w:rsidR="00FF4F0E"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和短信邀请</w:t>
      </w:r>
      <w:r>
        <w:rPr>
          <w:rFonts w:ascii="微软雅黑" w:eastAsia="微软雅黑" w:hAnsi="微软雅黑" w:hint="eastAsia"/>
          <w:sz w:val="20"/>
          <w:szCs w:val="20"/>
        </w:rPr>
        <w:t>，请务必在规定时间内完成测评</w:t>
      </w:r>
    </w:p>
    <w:p w:rsidR="00420962" w:rsidRDefault="00F54DE2">
      <w:pPr>
        <w:pStyle w:val="1"/>
        <w:widowControl/>
        <w:adjustRightInd w:val="0"/>
        <w:snapToGrid w:val="0"/>
        <w:spacing w:line="276" w:lineRule="auto"/>
        <w:ind w:left="420" w:firstLineChars="0" w:firstLine="0"/>
        <w:contextualSpacing/>
        <w:jc w:val="lef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注</w:t>
      </w:r>
      <w:r w:rsidR="00FF4F0E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：所有流程安排将以</w:t>
      </w:r>
      <w:r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邮件+短信</w:t>
      </w:r>
      <w:r>
        <w:rPr>
          <w:rFonts w:ascii="微软雅黑" w:eastAsia="微软雅黑" w:hAnsi="微软雅黑" w:hint="eastAsia"/>
          <w:sz w:val="20"/>
          <w:szCs w:val="20"/>
        </w:rPr>
        <w:t>通知</w:t>
      </w:r>
      <w:r>
        <w:rPr>
          <w:rFonts w:ascii="微软雅黑" w:eastAsia="微软雅黑" w:hAnsi="微软雅黑"/>
          <w:color w:val="000000"/>
          <w:sz w:val="20"/>
          <w:szCs w:val="20"/>
        </w:rPr>
        <w:t xml:space="preserve"> </w:t>
      </w:r>
    </w:p>
    <w:p w:rsidR="00420962" w:rsidRDefault="00F54DE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  <w:t>2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0</w:t>
      </w:r>
      <w:r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  <w:t>22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校园招聘职位（</w:t>
      </w:r>
      <w:r w:rsidR="00FF4F0E"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  <w:t>622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职位需求）</w:t>
      </w:r>
    </w:p>
    <w:p w:rsidR="00420962" w:rsidRDefault="00F54DE2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b/>
          <w:color w:val="0070C0"/>
          <w:sz w:val="20"/>
          <w:szCs w:val="20"/>
        </w:rPr>
        <w:t>工程类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 w:rsidR="00FF4F0E">
        <w:rPr>
          <w:rFonts w:ascii="微软雅黑" w:eastAsia="微软雅黑" w:hAnsi="微软雅黑"/>
          <w:b/>
          <w:color w:val="0070C0"/>
          <w:sz w:val="18"/>
          <w:szCs w:val="18"/>
        </w:rPr>
        <w:t>622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（本）</w:t>
      </w:r>
    </w:p>
    <w:p w:rsidR="00420962" w:rsidRDefault="00F54DE2">
      <w:pPr>
        <w:snapToGrid w:val="0"/>
        <w:spacing w:line="276" w:lineRule="auto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职位举例：生产管理储备工程师、设备运营助理工程师、自动化技术储备工程师、动力技术储备工程师、IE储备工程师等</w:t>
      </w:r>
    </w:p>
    <w:p w:rsidR="00420962" w:rsidRDefault="00F54DE2">
      <w:pPr>
        <w:pStyle w:val="1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：半导体显示事业（</w:t>
      </w:r>
      <w:r w:rsidR="00FF4F0E">
        <w:rPr>
          <w:rFonts w:ascii="微软雅黑" w:eastAsia="微软雅黑" w:hAnsi="微软雅黑"/>
          <w:bCs/>
          <w:sz w:val="18"/>
          <w:szCs w:val="18"/>
        </w:rPr>
        <w:t>622</w:t>
      </w:r>
      <w:r>
        <w:rPr>
          <w:rFonts w:ascii="微软雅黑" w:eastAsia="微软雅黑" w:hAnsi="微软雅黑" w:hint="eastAsia"/>
          <w:bCs/>
          <w:sz w:val="18"/>
          <w:szCs w:val="18"/>
        </w:rPr>
        <w:t>）</w:t>
      </w:r>
    </w:p>
    <w:p w:rsidR="00420962" w:rsidRDefault="00F54DE2">
      <w:pPr>
        <w:pStyle w:val="1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bCs/>
          <w:sz w:val="18"/>
          <w:szCs w:val="18"/>
        </w:rPr>
        <w:t>成都（</w:t>
      </w:r>
      <w:r w:rsidR="00FF4F0E">
        <w:rPr>
          <w:rFonts w:ascii="微软雅黑" w:eastAsia="微软雅黑" w:hAnsi="微软雅黑"/>
          <w:bCs/>
          <w:sz w:val="18"/>
          <w:szCs w:val="18"/>
        </w:rPr>
        <w:t>178</w:t>
      </w:r>
      <w:r>
        <w:rPr>
          <w:rFonts w:ascii="微软雅黑" w:eastAsia="微软雅黑" w:hAnsi="微软雅黑"/>
          <w:bCs/>
          <w:sz w:val="18"/>
          <w:szCs w:val="18"/>
        </w:rPr>
        <w:t>）</w:t>
      </w:r>
      <w:r>
        <w:rPr>
          <w:rFonts w:ascii="微软雅黑" w:eastAsia="微软雅黑" w:hAnsi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/>
          <w:bCs/>
          <w:sz w:val="18"/>
          <w:szCs w:val="18"/>
        </w:rPr>
        <w:t>重庆（40）</w:t>
      </w:r>
      <w:r>
        <w:rPr>
          <w:rFonts w:ascii="微软雅黑" w:eastAsia="微软雅黑" w:hAnsi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/>
          <w:bCs/>
          <w:sz w:val="18"/>
          <w:szCs w:val="18"/>
        </w:rPr>
        <w:t>合肥（</w:t>
      </w:r>
      <w:r w:rsidR="00FF4F0E">
        <w:rPr>
          <w:rFonts w:ascii="微软雅黑" w:eastAsia="微软雅黑" w:hAnsi="微软雅黑"/>
          <w:bCs/>
          <w:sz w:val="18"/>
          <w:szCs w:val="18"/>
        </w:rPr>
        <w:t>155</w:t>
      </w:r>
      <w:r>
        <w:rPr>
          <w:rFonts w:ascii="微软雅黑" w:eastAsia="微软雅黑" w:hAnsi="微软雅黑"/>
          <w:bCs/>
          <w:sz w:val="18"/>
          <w:szCs w:val="18"/>
        </w:rPr>
        <w:t>）</w:t>
      </w:r>
      <w:r>
        <w:rPr>
          <w:rFonts w:ascii="微软雅黑" w:eastAsia="微软雅黑" w:hAnsi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/>
          <w:bCs/>
          <w:sz w:val="18"/>
          <w:szCs w:val="18"/>
        </w:rPr>
        <w:t>青岛（</w:t>
      </w:r>
      <w:r w:rsidR="00FF4F0E">
        <w:rPr>
          <w:rFonts w:ascii="微软雅黑" w:eastAsia="微软雅黑" w:hAnsi="微软雅黑"/>
          <w:bCs/>
          <w:sz w:val="18"/>
          <w:szCs w:val="18"/>
        </w:rPr>
        <w:t>86</w:t>
      </w:r>
      <w:r>
        <w:rPr>
          <w:rFonts w:ascii="微软雅黑" w:eastAsia="微软雅黑" w:hAnsi="微软雅黑"/>
          <w:bCs/>
          <w:sz w:val="18"/>
          <w:szCs w:val="18"/>
        </w:rPr>
        <w:t>）</w:t>
      </w:r>
      <w:r>
        <w:rPr>
          <w:rFonts w:ascii="微软雅黑" w:eastAsia="微软雅黑" w:hAnsi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/>
          <w:bCs/>
          <w:sz w:val="18"/>
          <w:szCs w:val="18"/>
        </w:rPr>
        <w:t>武汉（</w:t>
      </w:r>
      <w:r w:rsidR="00FF4F0E">
        <w:rPr>
          <w:rFonts w:ascii="微软雅黑" w:eastAsia="微软雅黑" w:hAnsi="微软雅黑"/>
          <w:bCs/>
          <w:sz w:val="18"/>
          <w:szCs w:val="18"/>
        </w:rPr>
        <w:t>36</w:t>
      </w:r>
      <w:r>
        <w:rPr>
          <w:rFonts w:ascii="微软雅黑" w:eastAsia="微软雅黑" w:hAnsi="微软雅黑"/>
          <w:bCs/>
          <w:sz w:val="18"/>
          <w:szCs w:val="18"/>
        </w:rPr>
        <w:t>）</w:t>
      </w:r>
      <w:r>
        <w:rPr>
          <w:rFonts w:ascii="微软雅黑" w:eastAsia="微软雅黑" w:hAnsi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/>
          <w:bCs/>
          <w:sz w:val="18"/>
          <w:szCs w:val="18"/>
        </w:rPr>
        <w:t>鄂尔多斯（43）</w:t>
      </w:r>
      <w:r>
        <w:rPr>
          <w:rFonts w:ascii="微软雅黑" w:eastAsia="微软雅黑" w:hAnsi="微软雅黑" w:hint="eastAsia"/>
          <w:bCs/>
          <w:sz w:val="18"/>
          <w:szCs w:val="18"/>
        </w:rPr>
        <w:t>、</w:t>
      </w:r>
      <w:r>
        <w:rPr>
          <w:rFonts w:ascii="微软雅黑" w:eastAsia="微软雅黑" w:hAnsi="微软雅黑"/>
          <w:bCs/>
          <w:sz w:val="18"/>
          <w:szCs w:val="18"/>
        </w:rPr>
        <w:t>福州（</w:t>
      </w:r>
      <w:r w:rsidR="00FF4F0E">
        <w:rPr>
          <w:rFonts w:ascii="微软雅黑" w:eastAsia="微软雅黑" w:hAnsi="微软雅黑"/>
          <w:bCs/>
          <w:sz w:val="18"/>
          <w:szCs w:val="18"/>
        </w:rPr>
        <w:t>84</w:t>
      </w:r>
      <w:r>
        <w:rPr>
          <w:rFonts w:ascii="微软雅黑" w:eastAsia="微软雅黑" w:hAnsi="微软雅黑"/>
          <w:bCs/>
          <w:sz w:val="18"/>
          <w:szCs w:val="18"/>
        </w:rPr>
        <w:t>）</w:t>
      </w:r>
    </w:p>
    <w:p w:rsidR="00420962" w:rsidRDefault="00F54DE2">
      <w:pPr>
        <w:pStyle w:val="1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专业</w:t>
      </w:r>
      <w:r>
        <w:rPr>
          <w:rFonts w:ascii="微软雅黑" w:eastAsia="微软雅黑" w:hAnsi="微软雅黑" w:hint="eastAsia"/>
          <w:b/>
          <w:sz w:val="18"/>
          <w:szCs w:val="18"/>
        </w:rPr>
        <w:t>：理工大类</w:t>
      </w:r>
    </w:p>
    <w:p w:rsidR="00420962" w:rsidRDefault="00F54DE2">
      <w:pPr>
        <w:pStyle w:val="1"/>
        <w:snapToGrid w:val="0"/>
        <w:spacing w:line="276" w:lineRule="auto"/>
        <w:ind w:firstLineChars="0" w:firstLine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    如：机械、自动化/控制、通信/天线、半导体/物理/化学/材料、光学、电子/微电子、计算机/软件等</w:t>
      </w:r>
    </w:p>
    <w:p w:rsidR="00420962" w:rsidRDefault="0042096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</w:p>
    <w:p w:rsidR="00420962" w:rsidRPr="00FF4F0E" w:rsidRDefault="00F54DE2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薪酬福利介绍</w:t>
      </w:r>
    </w:p>
    <w:p w:rsidR="00420962" w:rsidRPr="00FF4F0E" w:rsidRDefault="00F54DE2">
      <w:pPr>
        <w:pStyle w:val="1"/>
        <w:widowControl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薪酬：</w:t>
      </w:r>
      <w:r w:rsidR="00FF4F0E" w:rsidRPr="00FF4F0E">
        <w:rPr>
          <w:rFonts w:ascii="微软雅黑" w:eastAsia="微软雅黑" w:hAnsi="微软雅黑" w:hint="eastAsia"/>
          <w:sz w:val="20"/>
          <w:szCs w:val="20"/>
        </w:rPr>
        <w:t>根据面试评价与具体职位进行差异化定薪</w:t>
      </w:r>
    </w:p>
    <w:p w:rsidR="00420962" w:rsidRDefault="00F54DE2">
      <w:pPr>
        <w:pStyle w:val="1"/>
        <w:widowControl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福利：</w:t>
      </w:r>
      <w:r>
        <w:rPr>
          <w:rFonts w:ascii="微软雅黑" w:eastAsia="微软雅黑" w:hAnsi="微软雅黑" w:hint="eastAsia"/>
          <w:sz w:val="18"/>
          <w:szCs w:val="22"/>
        </w:rPr>
        <w:t>（不同城市福利略有不同，以实际发放offer为准）</w:t>
      </w:r>
    </w:p>
    <w:p w:rsidR="00420962" w:rsidRDefault="00F54DE2">
      <w:pPr>
        <w:pStyle w:val="1"/>
        <w:widowControl/>
        <w:adjustRightInd w:val="0"/>
        <w:snapToGrid w:val="0"/>
        <w:spacing w:line="276" w:lineRule="auto"/>
        <w:ind w:left="420"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1.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餐饮住宿：餐饮补贴、员工宿舍、免费班车；</w:t>
      </w:r>
    </w:p>
    <w:p w:rsidR="00420962" w:rsidRDefault="00F54DE2">
      <w:pPr>
        <w:pStyle w:val="1"/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运动休闲：咖啡厅、健身房、篮球馆、羽毛球馆、足球场等；</w:t>
      </w:r>
    </w:p>
    <w:p w:rsidR="00420962" w:rsidRDefault="00F54DE2">
      <w:pPr>
        <w:pStyle w:val="1"/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健康保险：补充医疗保险、年度健康体检等；</w:t>
      </w:r>
    </w:p>
    <w:p w:rsidR="00420962" w:rsidRDefault="00F54DE2">
      <w:pPr>
        <w:pStyle w:val="1"/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人才发展：企业大学培训、完善的晋升机制、成熟的人才成长体系等；</w:t>
      </w:r>
    </w:p>
    <w:p w:rsidR="00420962" w:rsidRDefault="00F54DE2">
      <w:pPr>
        <w:pStyle w:val="1"/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其他福利：通讯补贴、结婚贺金、节日和生日贺金、企业年金、集团奖励年休假等。</w:t>
      </w:r>
    </w:p>
    <w:p w:rsidR="00420962" w:rsidRDefault="00F54DE2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疑问解答</w:t>
      </w:r>
    </w:p>
    <w:p w:rsidR="00420962" w:rsidRDefault="00F54DE2">
      <w:pPr>
        <w:pStyle w:val="1"/>
        <w:snapToGrid w:val="0"/>
        <w:spacing w:line="276" w:lineRule="auto"/>
        <w:ind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在招聘过程中，遇到任何的疑问，均可联系招聘经理进行对接：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在招聘过程中，遇到任何的疑问，均可联系招聘经理进行对接：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东北地区：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张经理 010 – 60965020 18810786941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张经理 010 – 60965003 15943061096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华北地区：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邢经理 010 – 60965243 15201438064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耿经理 010 – 60965019 13716555558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华东地区：</w:t>
      </w:r>
      <w:bookmarkStart w:id="1" w:name="_GoBack"/>
      <w:bookmarkEnd w:id="1"/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历经理 010 – 60965043 18322334371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刘经理 010 – 60965128 15047877031</w:t>
      </w:r>
    </w:p>
    <w:p w:rsidR="001348D5" w:rsidRPr="001348D5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 w:hint="eastAsia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西南地区：</w:t>
      </w:r>
    </w:p>
    <w:p w:rsidR="00420962" w:rsidRDefault="001348D5" w:rsidP="001348D5">
      <w:pPr>
        <w:pStyle w:val="1"/>
        <w:snapToGrid w:val="0"/>
        <w:spacing w:line="276" w:lineRule="auto"/>
        <w:ind w:firstLine="400"/>
        <w:rPr>
          <w:rFonts w:ascii="微软雅黑" w:eastAsia="微软雅黑" w:hAnsi="微软雅黑"/>
          <w:sz w:val="20"/>
          <w:szCs w:val="20"/>
        </w:rPr>
      </w:pPr>
      <w:r w:rsidRPr="001348D5">
        <w:rPr>
          <w:rFonts w:ascii="微软雅黑" w:eastAsia="微软雅黑" w:hAnsi="微软雅黑" w:hint="eastAsia"/>
          <w:sz w:val="20"/>
          <w:szCs w:val="20"/>
        </w:rPr>
        <w:t>赵经理 010 – 60965167 13669075826</w:t>
      </w:r>
    </w:p>
    <w:sectPr w:rsidR="00420962">
      <w:headerReference w:type="default" r:id="rId10"/>
      <w:footerReference w:type="default" r:id="rId11"/>
      <w:pgSz w:w="11900" w:h="16840"/>
      <w:pgMar w:top="1134" w:right="1021" w:bottom="1134" w:left="102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B9" w:rsidRDefault="001406B9">
      <w:r>
        <w:separator/>
      </w:r>
    </w:p>
  </w:endnote>
  <w:endnote w:type="continuationSeparator" w:id="0">
    <w:p w:rsidR="001406B9" w:rsidRDefault="001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62" w:rsidRDefault="00F54DE2">
    <w:pPr>
      <w:pStyle w:val="a3"/>
      <w:jc w:val="center"/>
    </w:pPr>
    <w:r>
      <w:rPr>
        <w:rFonts w:ascii="微软雅黑" w:eastAsia="微软雅黑" w:hAnsi="微软雅黑"/>
        <w:noProof/>
        <w:lang w:val="en-US"/>
      </w:rPr>
      <w:drawing>
        <wp:inline distT="0" distB="0" distL="0" distR="0">
          <wp:extent cx="2225040" cy="403860"/>
          <wp:effectExtent l="0" t="0" r="3810" b="0"/>
          <wp:docPr id="2" name="图片 2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B9" w:rsidRDefault="001406B9">
      <w:r>
        <w:separator/>
      </w:r>
    </w:p>
  </w:footnote>
  <w:footnote w:type="continuationSeparator" w:id="0">
    <w:p w:rsidR="001406B9" w:rsidRDefault="0014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62" w:rsidRDefault="00F54DE2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5842635</wp:posOffset>
          </wp:positionH>
          <wp:positionV relativeFrom="margin">
            <wp:posOffset>-615315</wp:posOffset>
          </wp:positionV>
          <wp:extent cx="899795" cy="500380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3AAB"/>
    <w:multiLevelType w:val="multilevel"/>
    <w:tmpl w:val="2FFA3A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80FDB"/>
    <w:multiLevelType w:val="multilevel"/>
    <w:tmpl w:val="39A80F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A50CCD"/>
    <w:multiLevelType w:val="multilevel"/>
    <w:tmpl w:val="58A50CCD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2B175DB"/>
    <w:multiLevelType w:val="multilevel"/>
    <w:tmpl w:val="62B175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BF2E6B"/>
    <w:multiLevelType w:val="multilevel"/>
    <w:tmpl w:val="73BF2E6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62"/>
    <w:rsid w:val="001348D5"/>
    <w:rsid w:val="001406B9"/>
    <w:rsid w:val="00215E7A"/>
    <w:rsid w:val="002E4696"/>
    <w:rsid w:val="00420962"/>
    <w:rsid w:val="00830C87"/>
    <w:rsid w:val="00D06A24"/>
    <w:rsid w:val="00F54DE2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7BCA80"/>
  <w15:docId w15:val="{E990EBFC-324A-4EBA-AC62-ACA4ED14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张明我</dc:creator>
  <cp:lastModifiedBy>刘领</cp:lastModifiedBy>
  <cp:revision>4</cp:revision>
  <cp:lastPrinted>2021-09-23T11:04:00Z</cp:lastPrinted>
  <dcterms:created xsi:type="dcterms:W3CDTF">2022-02-18T06:02:00Z</dcterms:created>
  <dcterms:modified xsi:type="dcterms:W3CDTF">2022-02-18T06:18:00Z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710F8770556BD975D0035061FCB7B50C</vt:lpwstr>
  </property>
  <property fmtid="{D5CDD505-2E9C-101B-9397-08002B2CF9AE}" pid="3" name="KSOProductBuildVer">
    <vt:lpwstr>2052-11.15.0</vt:lpwstr>
  </property>
</Properties>
</file>